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F2A6BF3" w14:textId="77777777" w:rsidTr="0041512A">
        <w:tc>
          <w:tcPr>
            <w:tcW w:w="2263" w:type="dxa"/>
          </w:tcPr>
          <w:p w14:paraId="7EE0C90D" w14:textId="6D84FA28" w:rsidR="0041512A" w:rsidRDefault="00690E99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108DEEF0" w14:textId="77777777" w:rsidR="0041512A" w:rsidRDefault="0097516F" w:rsidP="0041512A">
            <w:pPr>
              <w:jc w:val="center"/>
            </w:pPr>
            <w:proofErr w:type="spellStart"/>
            <w:r>
              <w:rPr>
                <w:b/>
                <w:color w:val="006600"/>
                <w:sz w:val="40"/>
                <w:szCs w:val="40"/>
                <w:u w:val="none"/>
              </w:rPr>
              <w:t>Acquaparco</w:t>
            </w:r>
            <w:proofErr w:type="spellEnd"/>
            <w:r>
              <w:rPr>
                <w:b/>
                <w:color w:val="006600"/>
                <w:sz w:val="40"/>
                <w:szCs w:val="40"/>
                <w:u w:val="none"/>
              </w:rPr>
              <w:t>-Acquascivolo</w:t>
            </w:r>
          </w:p>
        </w:tc>
        <w:tc>
          <w:tcPr>
            <w:tcW w:w="1979" w:type="dxa"/>
          </w:tcPr>
          <w:p w14:paraId="3014205D" w14:textId="6802C6D9" w:rsidR="0041512A" w:rsidRPr="0041512A" w:rsidRDefault="007D06D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E65F59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49FA237" w14:textId="77777777" w:rsidTr="0041512A">
        <w:tc>
          <w:tcPr>
            <w:tcW w:w="9629" w:type="dxa"/>
            <w:gridSpan w:val="3"/>
          </w:tcPr>
          <w:p w14:paraId="697C0CC9" w14:textId="7F4A3BDB" w:rsidR="00F33A15" w:rsidRPr="00412E4B" w:rsidRDefault="00412E4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12E4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7036E1C" w14:textId="77777777" w:rsidR="0097516F" w:rsidRPr="0097516F" w:rsidRDefault="0097516F" w:rsidP="0097516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516F">
              <w:rPr>
                <w:color w:val="auto"/>
                <w:sz w:val="20"/>
                <w:szCs w:val="20"/>
                <w:u w:val="none"/>
              </w:rPr>
              <w:t>Generalmente è una struttura all'aperto, ma è sempre più frequente, nel mondo, la costruzione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grandi strutture al coperto. Lo si può descrivere come un'area dotata di molte piscine di dimensioni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differenti in cui approdano spesso percorsi di acquascivoli. Possono essere presenti anche fiumi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lagune artificiali. Tutta la struttura è corredata di spogliatoi, servizi igienici e solitamente anche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ristoranti.</w:t>
            </w:r>
          </w:p>
          <w:p w14:paraId="39A40203" w14:textId="77777777" w:rsidR="0097516F" w:rsidRPr="0097516F" w:rsidRDefault="0097516F" w:rsidP="0097516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516F">
              <w:rPr>
                <w:color w:val="auto"/>
                <w:sz w:val="20"/>
                <w:szCs w:val="20"/>
                <w:u w:val="none"/>
              </w:rPr>
              <w:t>Le attrazioni classiche di un acquapark sono:</w:t>
            </w:r>
          </w:p>
          <w:p w14:paraId="63EDFEC3" w14:textId="77777777" w:rsidR="0097516F" w:rsidRPr="0097516F" w:rsidRDefault="0097516F" w:rsidP="0097516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516F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7516F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412E4B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acquascivolo</w:t>
            </w:r>
            <w:r w:rsidRPr="00412E4B">
              <w:rPr>
                <w:i/>
                <w:iCs/>
                <w:color w:val="auto"/>
                <w:sz w:val="22"/>
                <w:szCs w:val="22"/>
                <w:u w:val="none"/>
              </w:rPr>
              <w:t>:</w:t>
            </w:r>
            <w:r w:rsidRPr="0097516F">
              <w:rPr>
                <w:color w:val="auto"/>
                <w:sz w:val="20"/>
                <w:szCs w:val="20"/>
                <w:u w:val="none"/>
              </w:rPr>
              <w:t xml:space="preserve"> è la struttura primordiale dei giochi acquatici, che ha permesso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 xml:space="preserve">concepimento dell'idea stessa di </w:t>
            </w:r>
            <w:r w:rsidRPr="0097516F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a</w:t>
            </w:r>
            <w:r w:rsidRPr="0097516F">
              <w:rPr>
                <w:rFonts w:ascii="Calibri,Italic" w:hAnsi="Calibri,Italic" w:cs="Calibri,Italic"/>
                <w:i/>
                <w:iCs/>
                <w:color w:val="auto"/>
                <w:sz w:val="20"/>
                <w:szCs w:val="20"/>
                <w:u w:val="none"/>
              </w:rPr>
              <w:t>c</w:t>
            </w:r>
            <w:r w:rsidRPr="0097516F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quapark</w:t>
            </w:r>
            <w:r w:rsidRPr="0097516F">
              <w:rPr>
                <w:color w:val="auto"/>
                <w:sz w:val="20"/>
                <w:szCs w:val="20"/>
                <w:u w:val="none"/>
              </w:rPr>
              <w:t>. Si presenta in moltissime forme e variazioni: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generalmente in vetroresina, può essere aperto (sezione ad U), tubolare e quindi chiuso, 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 xml:space="preserve">grande sezione o come pista adagiata sul terreno. In un </w:t>
            </w:r>
            <w:r w:rsidRPr="0097516F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a</w:t>
            </w:r>
            <w:r w:rsidRPr="0097516F">
              <w:rPr>
                <w:rFonts w:ascii="Calibri,Italic" w:hAnsi="Calibri,Italic" w:cs="Calibri,Italic"/>
                <w:i/>
                <w:iCs/>
                <w:color w:val="auto"/>
                <w:sz w:val="20"/>
                <w:szCs w:val="20"/>
                <w:u w:val="none"/>
              </w:rPr>
              <w:t>c</w:t>
            </w:r>
            <w:r w:rsidRPr="0097516F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 xml:space="preserve">quapark </w:t>
            </w:r>
            <w:r w:rsidRPr="0097516F">
              <w:rPr>
                <w:color w:val="auto"/>
                <w:sz w:val="20"/>
                <w:szCs w:val="20"/>
                <w:u w:val="none"/>
              </w:rPr>
              <w:t>di norma si trovano molti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acquascivoli, che però si differenziano per velocità, spettacolarità e tipologia del percorso: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questo può essere molto curvo, sinusoidale, ad elica, intrecciato, alla luce o al buio (Black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97516F">
              <w:rPr>
                <w:color w:val="auto"/>
                <w:sz w:val="20"/>
                <w:szCs w:val="20"/>
                <w:u w:val="none"/>
              </w:rPr>
              <w:t>hole</w:t>
            </w:r>
            <w:proofErr w:type="spellEnd"/>
            <w:r w:rsidRPr="0097516F">
              <w:rPr>
                <w:color w:val="auto"/>
                <w:sz w:val="20"/>
                <w:szCs w:val="20"/>
                <w:u w:val="none"/>
              </w:rPr>
              <w:t>), fortemente in discesa (Kamikaze) o sezione molto larga in modo da permettere 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discesa di due o più persone su dei gommoncini.</w:t>
            </w:r>
          </w:p>
          <w:p w14:paraId="3C53583B" w14:textId="77777777" w:rsidR="0097516F" w:rsidRPr="0097516F" w:rsidRDefault="0097516F" w:rsidP="0097516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516F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7516F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412E4B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piscina a onde</w:t>
            </w:r>
            <w:r w:rsidRPr="00412E4B">
              <w:rPr>
                <w:color w:val="auto"/>
                <w:sz w:val="22"/>
                <w:szCs w:val="22"/>
                <w:u w:val="none"/>
              </w:rPr>
              <w:t>:</w:t>
            </w:r>
            <w:r w:rsidRPr="0097516F">
              <w:rPr>
                <w:color w:val="auto"/>
                <w:sz w:val="20"/>
                <w:szCs w:val="20"/>
                <w:u w:val="none"/>
              </w:rPr>
              <w:t xml:space="preserve"> è una piscina la cui sezione longitudinale parte da quota zero ed arriva a 2 metri, in modo da emulare una generica riva di una spiaggia marina; tramite un sistema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pompaggio, vengono generate onde artificiali che possono raggiungere anche notevoli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altezze.</w:t>
            </w:r>
          </w:p>
          <w:p w14:paraId="646C9DA8" w14:textId="77777777" w:rsidR="0097516F" w:rsidRPr="0097516F" w:rsidRDefault="0097516F" w:rsidP="0097516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412E4B">
              <w:rPr>
                <w:rFonts w:ascii="Symbol" w:hAnsi="Symbol" w:cs="Symbol"/>
                <w:i/>
                <w:iCs/>
                <w:color w:val="FF0000"/>
                <w:sz w:val="22"/>
                <w:szCs w:val="22"/>
                <w:u w:val="none"/>
              </w:rPr>
              <w:t></w:t>
            </w:r>
            <w:r w:rsidRPr="00412E4B">
              <w:rPr>
                <w:rFonts w:ascii="Symbol" w:hAnsi="Symbol" w:cs="Symbol"/>
                <w:i/>
                <w:iCs/>
                <w:color w:val="FF0000"/>
                <w:sz w:val="22"/>
                <w:szCs w:val="22"/>
                <w:u w:val="none"/>
              </w:rPr>
              <w:t></w:t>
            </w:r>
            <w:r w:rsidRPr="00412E4B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piscina torrente </w:t>
            </w:r>
            <w:r w:rsidRPr="00412E4B">
              <w:rPr>
                <w:i/>
                <w:iCs/>
                <w:color w:val="FF0000"/>
                <w:sz w:val="22"/>
                <w:szCs w:val="22"/>
                <w:u w:val="none"/>
              </w:rPr>
              <w:t>(</w:t>
            </w:r>
            <w:r w:rsidRPr="00412E4B">
              <w:rPr>
                <w:rFonts w:ascii="Arial,Italic" w:hAnsi="Arial,Italic" w:cs="Arial,Italic"/>
                <w:i/>
                <w:iCs/>
                <w:color w:val="FF0000"/>
                <w:sz w:val="22"/>
                <w:szCs w:val="22"/>
                <w:u w:val="none"/>
              </w:rPr>
              <w:t>fiume lento</w:t>
            </w:r>
            <w:r w:rsidRPr="00412E4B">
              <w:rPr>
                <w:i/>
                <w:iCs/>
                <w:color w:val="FF0000"/>
                <w:sz w:val="22"/>
                <w:szCs w:val="22"/>
                <w:u w:val="none"/>
              </w:rPr>
              <w:t>)</w:t>
            </w:r>
            <w:r w:rsidRPr="0097516F">
              <w:rPr>
                <w:color w:val="auto"/>
                <w:sz w:val="20"/>
                <w:szCs w:val="20"/>
                <w:u w:val="none"/>
              </w:rPr>
              <w:t>: è un canale in cui viene indotto un moto circolare all'acqua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esso contenuta; gli ospiti, a bordo di gommoncini o enormi salvagente, si lasciano trasportare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dalla corrente</w:t>
            </w:r>
          </w:p>
          <w:p w14:paraId="35E92826" w14:textId="77777777" w:rsidR="0097516F" w:rsidRPr="0097516F" w:rsidRDefault="0097516F" w:rsidP="0097516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412E4B">
              <w:rPr>
                <w:rFonts w:ascii="Symbol" w:hAnsi="Symbol" w:cs="Symbol"/>
                <w:color w:val="FF0000"/>
                <w:sz w:val="22"/>
                <w:szCs w:val="22"/>
                <w:u w:val="none"/>
              </w:rPr>
              <w:t></w:t>
            </w:r>
            <w:r w:rsidRPr="00412E4B">
              <w:rPr>
                <w:rFonts w:ascii="Symbol" w:hAnsi="Symbol" w:cs="Symbol"/>
                <w:color w:val="FF0000"/>
                <w:sz w:val="22"/>
                <w:szCs w:val="22"/>
                <w:u w:val="none"/>
              </w:rPr>
              <w:t></w:t>
            </w:r>
            <w:proofErr w:type="spellStart"/>
            <w:r w:rsidRPr="00412E4B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half</w:t>
            </w:r>
            <w:proofErr w:type="spellEnd"/>
            <w:r w:rsidRPr="00412E4B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 pipe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:</w:t>
            </w:r>
            <w:r w:rsidRPr="0097516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 xml:space="preserve">è una rampa a sezione semicircolare o </w:t>
            </w:r>
            <w:proofErr w:type="spellStart"/>
            <w:r w:rsidRPr="0097516F">
              <w:rPr>
                <w:color w:val="auto"/>
                <w:sz w:val="20"/>
                <w:szCs w:val="20"/>
                <w:u w:val="none"/>
              </w:rPr>
              <w:t>paraboidale</w:t>
            </w:r>
            <w:proofErr w:type="spellEnd"/>
            <w:r w:rsidRPr="0097516F">
              <w:rPr>
                <w:color w:val="auto"/>
                <w:sz w:val="20"/>
                <w:szCs w:val="20"/>
                <w:u w:val="none"/>
              </w:rPr>
              <w:t>. Vi si scende in moto armonico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(smorzato dall'attrito) fino a perdere quota. L'atleta può recuperare l'energia dissipata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dall'attrito spingendosi, in modo paragonabile al gesto che si compie in altalena per prendere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velocità.</w:t>
            </w:r>
          </w:p>
          <w:p w14:paraId="4CB605C8" w14:textId="77777777" w:rsidR="003514C2" w:rsidRPr="0097516F" w:rsidRDefault="0097516F" w:rsidP="0097516F">
            <w:pPr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12E4B">
              <w:rPr>
                <w:rFonts w:ascii="Symbol" w:hAnsi="Symbol" w:cs="Symbol"/>
                <w:color w:val="FF0000"/>
                <w:sz w:val="20"/>
                <w:szCs w:val="20"/>
                <w:u w:val="none"/>
              </w:rPr>
              <w:t></w:t>
            </w:r>
            <w:r w:rsidRPr="00412E4B">
              <w:rPr>
                <w:rFonts w:ascii="Symbol" w:hAnsi="Symbol" w:cs="Symbol"/>
                <w:color w:val="FF0000"/>
                <w:sz w:val="20"/>
                <w:szCs w:val="20"/>
                <w:u w:val="none"/>
              </w:rPr>
              <w:t></w:t>
            </w:r>
            <w:r w:rsidRPr="00412E4B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scivolo a trottola</w:t>
            </w:r>
            <w:r w:rsidRPr="00412E4B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auto"/>
                <w:sz w:val="20"/>
                <w:szCs w:val="20"/>
                <w:u w:val="none"/>
              </w:rPr>
              <w:t>(o "cono", o "imbuto", o "tornado")</w:t>
            </w:r>
          </w:p>
          <w:p w14:paraId="7E08AA89" w14:textId="77777777" w:rsidR="0097516F" w:rsidRPr="00412E4B" w:rsidRDefault="0097516F" w:rsidP="0097516F">
            <w:pPr>
              <w:ind w:left="164"/>
              <w:jc w:val="both"/>
              <w:rPr>
                <w:rFonts w:eastAsia="Times New Roman"/>
                <w:b/>
                <w:color w:val="FF0000"/>
                <w:u w:val="none"/>
                <w:lang w:eastAsia="it-IT"/>
              </w:rPr>
            </w:pPr>
          </w:p>
          <w:p w14:paraId="189B8FFA" w14:textId="77777777" w:rsidR="00412E4B" w:rsidRPr="00AB4C12" w:rsidRDefault="00412E4B" w:rsidP="00412E4B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2EF3619" w14:textId="7AA82FE7" w:rsidR="00412E4B" w:rsidRPr="00E10190" w:rsidRDefault="00E10190" w:rsidP="00412E4B">
            <w:pPr>
              <w:pStyle w:val="Paragrafoelenco"/>
              <w:numPr>
                <w:ilvl w:val="0"/>
                <w:numId w:val="18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A734D3">
              <w:rPr>
                <w:b/>
                <w:sz w:val="24"/>
                <w:szCs w:val="24"/>
              </w:rPr>
              <w:instrText>HYPERLINK "../../PROGRAMMAZIONE/AREE.docx"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2E4B" w:rsidRPr="00E10190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4DFB3379" w14:textId="51D90E9E" w:rsidR="00412E4B" w:rsidRPr="0031611B" w:rsidRDefault="00E10190" w:rsidP="00412E4B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8F2935B" w14:textId="171CC1E2" w:rsidR="00412E4B" w:rsidRPr="000A1FBF" w:rsidRDefault="00412E4B" w:rsidP="00412E4B">
            <w:pPr>
              <w:pStyle w:val="Paragrafoelenco"/>
              <w:numPr>
                <w:ilvl w:val="0"/>
                <w:numId w:val="18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10190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D0BE133" w14:textId="77777777" w:rsidR="00412E4B" w:rsidRPr="00F73D96" w:rsidRDefault="00412E4B" w:rsidP="00412E4B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BCB44E2" w14:textId="54E5D917" w:rsidR="00412E4B" w:rsidRPr="00720A14" w:rsidRDefault="00412E4B" w:rsidP="00412E4B">
            <w:pPr>
              <w:pStyle w:val="Paragrafoelenco"/>
              <w:numPr>
                <w:ilvl w:val="0"/>
                <w:numId w:val="18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E10190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201E6666" w14:textId="77777777" w:rsidR="00412E4B" w:rsidRPr="0031611B" w:rsidRDefault="00412E4B" w:rsidP="00412E4B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494B17CB" w14:textId="77777777" w:rsidR="00412E4B" w:rsidRPr="007331C5" w:rsidRDefault="00412E4B" w:rsidP="00412E4B">
            <w:pPr>
              <w:pStyle w:val="Paragrafoelenco"/>
              <w:widowControl w:val="0"/>
              <w:numPr>
                <w:ilvl w:val="0"/>
                <w:numId w:val="18"/>
              </w:numPr>
              <w:spacing w:after="120"/>
              <w:ind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di piscina,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6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60DC9E30" w14:textId="77777777" w:rsidR="00412E4B" w:rsidRPr="007331C5" w:rsidRDefault="00412E4B" w:rsidP="00412E4B">
            <w:pPr>
              <w:pStyle w:val="Paragrafoelenco"/>
              <w:spacing w:before="120" w:after="120" w:line="259" w:lineRule="auto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0AAD704E" w14:textId="26546AEF" w:rsidR="00412E4B" w:rsidRPr="00650FBE" w:rsidRDefault="007D06D9" w:rsidP="00412E4B">
            <w:pPr>
              <w:pStyle w:val="Paragrafoelenco"/>
              <w:numPr>
                <w:ilvl w:val="0"/>
                <w:numId w:val="18"/>
              </w:numPr>
              <w:spacing w:line="259" w:lineRule="auto"/>
              <w:rPr>
                <w:rStyle w:val="Collegamentoipertestuale"/>
                <w:b/>
                <w:bCs/>
                <w:sz w:val="24"/>
                <w:szCs w:val="24"/>
                <w:u w:val="none"/>
              </w:rPr>
            </w:pPr>
            <w:hyperlink r:id="rId7" w:history="1">
              <w:r w:rsidR="00412E4B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6FA1B07C" w14:textId="6B5EE772" w:rsidR="00A84893" w:rsidRPr="00412E4B" w:rsidRDefault="00A84893" w:rsidP="00BD3D0C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28FC707F" w14:textId="77777777" w:rsidR="00651349" w:rsidRPr="00412E4B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412E4B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77747DE4" w14:textId="77777777" w:rsidR="0097516F" w:rsidRPr="0097516F" w:rsidRDefault="0097516F" w:rsidP="0097516F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 Acquapark deve munirsi di apposita licenza, prevista dall’art. 68 del TULPS, presentando al SUAP un’istanza.</w:t>
            </w:r>
          </w:p>
          <w:p w14:paraId="4B0E9827" w14:textId="75F1727B" w:rsidR="0097516F" w:rsidRPr="0097516F" w:rsidRDefault="0097516F" w:rsidP="0097516F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</w:t>
            </w:r>
            <w:r w:rsidR="00412E4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="00412E4B"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Acquapark</w:t>
            </w:r>
            <w:r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pubblic</w:t>
            </w:r>
            <w:r w:rsidR="00412E4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o</w:t>
            </w:r>
            <w:r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Pr="0097516F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(con o senza presenza di pubblico)</w:t>
            </w:r>
            <w:r w:rsidRPr="0097516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deve munirsi di apposita licenza, prevista dall’art. 68 del TULPS, presentando al SUAP un’istanza.</w:t>
            </w:r>
          </w:p>
          <w:p w14:paraId="3095E5FE" w14:textId="5ADE916C" w:rsidR="00412E4B" w:rsidRPr="00764B7D" w:rsidRDefault="00412E4B" w:rsidP="00412E4B">
            <w:pPr>
              <w:spacing w:before="30"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richiedere </w:t>
            </w:r>
            <w:r w:rsidRPr="00764B7D">
              <w:rPr>
                <w:color w:val="auto"/>
                <w:sz w:val="20"/>
                <w:szCs w:val="20"/>
                <w:u w:val="none"/>
              </w:rPr>
              <w:t xml:space="preserve">alla Commissione Comunale di Vigilanza Locali di Pubblico Spettacolo la verifica dell’agibilità dell’impianto occorre presentare 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di </w:t>
            </w:r>
            <w:hyperlink r:id="rId8" w:history="1">
              <w:r w:rsidRPr="00E10190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parere preventivo</w:t>
              </w:r>
            </w:hyperlink>
            <w:r w:rsidRPr="007331C5">
              <w:rPr>
                <w:rFonts w:eastAsia="Times New Roman"/>
                <w:b/>
                <w:bCs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Pr="00764B7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ammissibilità urbanistica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da sottoporre all’esame della </w:t>
            </w:r>
            <w:r w:rsidRPr="007331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Pr="007331C5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764B7D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  </w:t>
            </w:r>
          </w:p>
          <w:p w14:paraId="52AF2EE2" w14:textId="7CC7ADE8" w:rsidR="0097516F" w:rsidRPr="0097516F" w:rsidRDefault="0097516F" w:rsidP="0097516F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A nulla osta acquisito,</w:t>
            </w:r>
            <w:r w:rsidRPr="0097516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l’istanza </w:t>
            </w:r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deve essere</w:t>
            </w:r>
            <w:r w:rsidRPr="0097516F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97516F">
              <w:rPr>
                <w:color w:val="000000" w:themeColor="text1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r w:rsidR="00E87A9E">
                <w:t xml:space="preserve"> </w:t>
              </w:r>
              <w:hyperlink r:id="rId10" w:history="1">
                <w:r w:rsidR="00E87A9E" w:rsidRPr="00E87A9E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Impresainungiorno.gov.it</w:t>
                </w:r>
                <w:r w:rsidR="00E87A9E">
                  <w:rPr>
                    <w:rStyle w:val="Collegamentoipertestuale"/>
                    <w:color w:val="auto"/>
                    <w:u w:val="none"/>
                  </w:rPr>
                  <w:t xml:space="preserve">   </w:t>
                </w:r>
              </w:hyperlink>
              <w:r w:rsidRPr="0097516F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97516F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25A66EB1" w14:textId="245E431F" w:rsidR="0097516F" w:rsidRPr="0097516F" w:rsidRDefault="0097516F" w:rsidP="0097516F">
            <w:pPr>
              <w:spacing w:before="30"/>
              <w:ind w:left="164" w:right="312"/>
              <w:jc w:val="both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97516F">
              <w:rPr>
                <w:color w:val="000000" w:themeColor="text1"/>
                <w:sz w:val="20"/>
                <w:szCs w:val="20"/>
                <w:u w:val="none"/>
              </w:rPr>
              <w:t>Ad accesso avvenuto, procedere selezionando</w:t>
            </w:r>
            <w:r w:rsidR="00412E4B">
              <w:rPr>
                <w:color w:val="000000" w:themeColor="text1"/>
                <w:sz w:val="20"/>
                <w:szCs w:val="20"/>
                <w:u w:val="none"/>
              </w:rPr>
              <w:t xml:space="preserve">: </w:t>
            </w:r>
            <w:r w:rsidR="007F532D">
              <w:rPr>
                <w:b/>
                <w:color w:val="000000" w:themeColor="text1"/>
                <w:sz w:val="20"/>
                <w:szCs w:val="20"/>
                <w:u w:val="none"/>
              </w:rPr>
              <w:t>Intrattenimento, Divertimento, Attività artistiche e Sportive</w:t>
            </w:r>
            <w:r w:rsidR="00412E4B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 (Ateco da 90 a 93)</w:t>
            </w:r>
            <w:r w:rsidRPr="0097516F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 + </w:t>
            </w:r>
            <w:r w:rsidR="007F532D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Intrattenimento e divertimento </w:t>
            </w:r>
            <w:r w:rsidRPr="0097516F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+ </w:t>
            </w:r>
            <w:r w:rsidRPr="0097516F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Acquascivolo </w:t>
            </w:r>
            <w:r w:rsidR="007F532D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e</w:t>
            </w:r>
            <w:r w:rsidRPr="0097516F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97516F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acquaparco</w:t>
            </w:r>
            <w:proofErr w:type="spellEnd"/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,, </w:t>
            </w:r>
            <w:r w:rsidRPr="0097516F">
              <w:rPr>
                <w:color w:val="000000" w:themeColor="text1"/>
                <w:sz w:val="20"/>
                <w:szCs w:val="20"/>
                <w:u w:val="none"/>
              </w:rPr>
              <w:t>quindi digitare</w:t>
            </w:r>
            <w:r w:rsidRPr="0097516F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000000" w:themeColor="text1"/>
                <w:sz w:val="20"/>
                <w:szCs w:val="20"/>
                <w:u w:val="none"/>
              </w:rPr>
              <w:t>conferma e</w:t>
            </w:r>
            <w:r w:rsidRPr="0097516F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color w:val="000000" w:themeColor="text1"/>
                <w:sz w:val="20"/>
                <w:szCs w:val="20"/>
                <w:u w:val="none"/>
              </w:rPr>
              <w:t>procedere</w:t>
            </w:r>
            <w:r w:rsidRPr="0097516F">
              <w:rPr>
                <w:b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97516F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97516F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.</w:t>
            </w:r>
          </w:p>
          <w:p w14:paraId="761E52B4" w14:textId="77777777" w:rsidR="00412E4B" w:rsidRDefault="00412E4B" w:rsidP="00764B7D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4F3AEF01" w14:textId="0EC41AEE" w:rsidR="00764B7D" w:rsidRPr="00E10190" w:rsidRDefault="00764B7D" w:rsidP="00764B7D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E10190">
              <w:rPr>
                <w:b/>
                <w:sz w:val="20"/>
                <w:szCs w:val="20"/>
              </w:rPr>
              <w:fldChar w:fldCharType="begin"/>
            </w:r>
            <w:r w:rsidR="00E10190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E10190">
              <w:rPr>
                <w:b/>
                <w:sz w:val="20"/>
                <w:szCs w:val="20"/>
              </w:rPr>
              <w:fldChar w:fldCharType="separate"/>
            </w:r>
            <w:r w:rsidRPr="00E10190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34EE4B43" w14:textId="17BF3836" w:rsidR="00412E4B" w:rsidRDefault="00E10190" w:rsidP="00F33D47">
            <w:pPr>
              <w:spacing w:after="120"/>
              <w:ind w:left="164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088B72F2" w14:textId="77777777" w:rsidR="00412E4B" w:rsidRPr="0056509F" w:rsidRDefault="00412E4B" w:rsidP="00412E4B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lastRenderedPageBreak/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8C557CC" w14:textId="77777777" w:rsidR="00412E4B" w:rsidRDefault="00412E4B" w:rsidP="00412E4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75C61B8D" w14:textId="77777777" w:rsidR="00412E4B" w:rsidRPr="0062230B" w:rsidRDefault="00412E4B" w:rsidP="00412E4B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4"/>
                <w:szCs w:val="24"/>
                <w:u w:val="none"/>
                <w:lang w:eastAsia="it-IT"/>
              </w:rPr>
            </w:pPr>
          </w:p>
          <w:p w14:paraId="0B339129" w14:textId="4E915BE8" w:rsidR="00AB31FE" w:rsidRPr="00AB31FE" w:rsidRDefault="007D06D9" w:rsidP="00412E4B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AB31FE" w:rsidRPr="00AB31FE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200D45BA" w14:textId="77777777" w:rsidR="00AB31FE" w:rsidRDefault="00AB31FE" w:rsidP="00412E4B">
            <w:pPr>
              <w:ind w:left="164" w:right="312"/>
              <w:jc w:val="both"/>
            </w:pPr>
          </w:p>
          <w:p w14:paraId="4C1BE662" w14:textId="6C73583E" w:rsidR="00412E4B" w:rsidRPr="00744B7C" w:rsidRDefault="007D06D9" w:rsidP="00412E4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412E4B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412E4B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412E4B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656228AC" w14:textId="77777777" w:rsidR="00412E4B" w:rsidRPr="0062230B" w:rsidRDefault="00412E4B" w:rsidP="00412E4B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sz w:val="24"/>
                <w:szCs w:val="24"/>
                <w:u w:val="none"/>
              </w:rPr>
            </w:pPr>
          </w:p>
          <w:p w14:paraId="60994777" w14:textId="5BBA30A1" w:rsidR="00AB31FE" w:rsidRDefault="007D06D9" w:rsidP="00AB31FE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5" w:history="1">
              <w:r w:rsidR="00AB31FE">
                <w:rPr>
                  <w:rStyle w:val="Collegamentoipertestuale"/>
                  <w:b/>
                  <w:bCs/>
                </w:rPr>
                <w:t>O</w:t>
              </w:r>
              <w:r w:rsidR="00AB31FE">
                <w:rPr>
                  <w:rStyle w:val="Collegamentoipertestuale"/>
                  <w:b/>
                </w:rPr>
                <w:t xml:space="preserve">neri </w:t>
              </w:r>
              <w:r w:rsidR="00AB31FE">
                <w:rPr>
                  <w:rStyle w:val="Collegamentoipertestuale"/>
                  <w:b/>
                  <w:bCs/>
                </w:rPr>
                <w:t>istru</w:t>
              </w:r>
              <w:r w:rsidR="00AB31FE">
                <w:rPr>
                  <w:rStyle w:val="Collegamentoipertestuale"/>
                  <w:b/>
                  <w:bCs/>
                </w:rPr>
                <w:t>t</w:t>
              </w:r>
              <w:r w:rsidR="00AB31FE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73579989" w14:textId="77777777" w:rsidR="00AB31FE" w:rsidRPr="00AB31FE" w:rsidRDefault="00AB31FE" w:rsidP="00AB31F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AB31FE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02AA1FE6" w14:textId="77777777" w:rsidR="00AB31FE" w:rsidRDefault="00AB31FE" w:rsidP="00AB31F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2"/>
                <w:szCs w:val="22"/>
              </w:rPr>
            </w:pPr>
          </w:p>
          <w:bookmarkStart w:id="0" w:name="_Hlk67046091"/>
          <w:p w14:paraId="5396693C" w14:textId="78A3F510" w:rsidR="00AB31FE" w:rsidRDefault="00AB31FE" w:rsidP="00AB31FE">
            <w:pPr>
              <w:pStyle w:val="Paragrafoelenco"/>
              <w:spacing w:after="120"/>
              <w:ind w:left="164" w:right="170"/>
              <w:jc w:val="both"/>
              <w:rPr>
                <w:sz w:val="20"/>
                <w:szCs w:val="20"/>
              </w:rPr>
            </w:pPr>
            <w:r>
              <w:fldChar w:fldCharType="begin"/>
            </w:r>
            <w:r w:rsidR="00DA0BB0">
              <w:instrText>HYPERLINK "Definizioni/21PA%20Tempistica%20CCVLPS.pdf"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Tempistica CC</w:t>
            </w:r>
            <w:r>
              <w:rPr>
                <w:rStyle w:val="Collegamentoipertestuale"/>
                <w:b/>
              </w:rPr>
              <w:t>V</w:t>
            </w:r>
            <w:r>
              <w:rPr>
                <w:rStyle w:val="Collegamentoipertestuale"/>
                <w:b/>
              </w:rPr>
              <w:t>LPS</w:t>
            </w:r>
            <w:r>
              <w:fldChar w:fldCharType="end"/>
            </w:r>
            <w:r>
              <w:rPr>
                <w:b/>
                <w:color w:val="C00000"/>
              </w:rPr>
              <w:t xml:space="preserve"> </w:t>
            </w:r>
          </w:p>
          <w:bookmarkEnd w:id="0"/>
          <w:p w14:paraId="4C5002DB" w14:textId="77777777" w:rsidR="00AB31FE" w:rsidRPr="00AB31FE" w:rsidRDefault="00AB31FE" w:rsidP="00AB31FE">
            <w:pPr>
              <w:ind w:left="164" w:right="312"/>
              <w:jc w:val="both"/>
              <w:rPr>
                <w:b/>
                <w:bCs/>
                <w:color w:val="auto"/>
                <w:sz w:val="22"/>
                <w:szCs w:val="22"/>
                <w:u w:val="none"/>
              </w:rPr>
            </w:pPr>
            <w:r w:rsidRPr="00AB31FE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Il Responsabile SUAP rilascia le licenze per l’esercizio di piscine pubbliche previo parere del servizio Igiene Pubblica dell’A.T.S.  </w:t>
            </w:r>
          </w:p>
          <w:p w14:paraId="18D4326C" w14:textId="5AE80B70" w:rsidR="00412E4B" w:rsidRDefault="00412E4B" w:rsidP="0062230B">
            <w:pPr>
              <w:pStyle w:val="Rientrocorpodeltesto"/>
              <w:spacing w:after="0"/>
              <w:ind w:left="164"/>
              <w:jc w:val="both"/>
            </w:pPr>
          </w:p>
          <w:p w14:paraId="4E6FDF42" w14:textId="179D479D" w:rsidR="001D62D0" w:rsidRPr="00945B26" w:rsidRDefault="007D06D9" w:rsidP="001D62D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412E4B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12E4B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412E4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2E4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2E4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0E177B" w:rsidRPr="009D241B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0E177B" w:rsidRPr="009D241B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0E177B" w:rsidRPr="009D241B">
                <w:rPr>
                  <w:rStyle w:val="Collegamentoipertestuale"/>
                  <w:b/>
                  <w:sz w:val="20"/>
                  <w:szCs w:val="20"/>
                </w:rPr>
                <w:t>te 5^</w:t>
              </w:r>
            </w:hyperlink>
            <w:r w:rsidR="000E177B" w:rsidRPr="00945B26">
              <w:rPr>
                <w:color w:val="0000FF"/>
                <w:sz w:val="20"/>
                <w:szCs w:val="20"/>
              </w:rPr>
              <w:t xml:space="preserve"> </w:t>
            </w:r>
            <w:r w:rsidR="001D62D0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D62D0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379FC6C9" w14:textId="34D4C829" w:rsidR="00412E4B" w:rsidRPr="0062230B" w:rsidRDefault="00412E4B" w:rsidP="00412E4B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0799D7BA" w14:textId="77777777" w:rsidR="00412E4B" w:rsidRPr="0090382A" w:rsidRDefault="00412E4B" w:rsidP="00412E4B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5D863746" w14:textId="77777777" w:rsidR="00276654" w:rsidRDefault="00412E4B" w:rsidP="0062230B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8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1FE80F4C" w14:textId="1456B5B9" w:rsidR="0062230B" w:rsidRPr="0041512A" w:rsidRDefault="0062230B" w:rsidP="0062230B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090566F2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AA7CEC58"/>
    <w:lvl w:ilvl="0" w:tplc="765034D2">
      <w:start w:val="1"/>
      <w:numFmt w:val="decimal"/>
      <w:lvlText w:val="%1."/>
      <w:lvlJc w:val="left"/>
      <w:pPr>
        <w:ind w:left="720" w:hanging="360"/>
      </w:pPr>
      <w:rPr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53F7"/>
    <w:multiLevelType w:val="hybridMultilevel"/>
    <w:tmpl w:val="EEB2DF50"/>
    <w:lvl w:ilvl="0" w:tplc="7C287214">
      <w:start w:val="5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73F3"/>
    <w:multiLevelType w:val="hybridMultilevel"/>
    <w:tmpl w:val="0308B7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C1D36"/>
    <w:rsid w:val="000E177B"/>
    <w:rsid w:val="000E4B7E"/>
    <w:rsid w:val="000F3ADF"/>
    <w:rsid w:val="00112873"/>
    <w:rsid w:val="00117F1E"/>
    <w:rsid w:val="0012159E"/>
    <w:rsid w:val="001D62D0"/>
    <w:rsid w:val="002210DE"/>
    <w:rsid w:val="0023487B"/>
    <w:rsid w:val="00237016"/>
    <w:rsid w:val="00276654"/>
    <w:rsid w:val="002A5D7C"/>
    <w:rsid w:val="002A6285"/>
    <w:rsid w:val="002A77E8"/>
    <w:rsid w:val="002B375D"/>
    <w:rsid w:val="002B6C24"/>
    <w:rsid w:val="00342D58"/>
    <w:rsid w:val="003514C2"/>
    <w:rsid w:val="003A4A32"/>
    <w:rsid w:val="003C5FBA"/>
    <w:rsid w:val="00412E4B"/>
    <w:rsid w:val="0041512A"/>
    <w:rsid w:val="00423A15"/>
    <w:rsid w:val="004257E1"/>
    <w:rsid w:val="0044342C"/>
    <w:rsid w:val="0045341A"/>
    <w:rsid w:val="004704B5"/>
    <w:rsid w:val="00493BD0"/>
    <w:rsid w:val="004B3C68"/>
    <w:rsid w:val="004B7DB4"/>
    <w:rsid w:val="004F3CF0"/>
    <w:rsid w:val="004F59C5"/>
    <w:rsid w:val="004F667B"/>
    <w:rsid w:val="00506E58"/>
    <w:rsid w:val="00540C28"/>
    <w:rsid w:val="005930C1"/>
    <w:rsid w:val="005A27A4"/>
    <w:rsid w:val="005C01FD"/>
    <w:rsid w:val="005C68B2"/>
    <w:rsid w:val="005C720B"/>
    <w:rsid w:val="005E5880"/>
    <w:rsid w:val="0060627C"/>
    <w:rsid w:val="00621A5C"/>
    <w:rsid w:val="00621E64"/>
    <w:rsid w:val="0062230B"/>
    <w:rsid w:val="00626ACF"/>
    <w:rsid w:val="00640813"/>
    <w:rsid w:val="00651349"/>
    <w:rsid w:val="00651378"/>
    <w:rsid w:val="00690E99"/>
    <w:rsid w:val="00692827"/>
    <w:rsid w:val="00694B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64B7D"/>
    <w:rsid w:val="007D06D9"/>
    <w:rsid w:val="007D29FA"/>
    <w:rsid w:val="007F532D"/>
    <w:rsid w:val="00815756"/>
    <w:rsid w:val="0082478D"/>
    <w:rsid w:val="00831977"/>
    <w:rsid w:val="00872D0F"/>
    <w:rsid w:val="008756FA"/>
    <w:rsid w:val="00897F79"/>
    <w:rsid w:val="009025A0"/>
    <w:rsid w:val="0090382A"/>
    <w:rsid w:val="00945B26"/>
    <w:rsid w:val="0097516F"/>
    <w:rsid w:val="009A4645"/>
    <w:rsid w:val="009C0F33"/>
    <w:rsid w:val="009D00A5"/>
    <w:rsid w:val="00A06B50"/>
    <w:rsid w:val="00A123BB"/>
    <w:rsid w:val="00A734D3"/>
    <w:rsid w:val="00A84893"/>
    <w:rsid w:val="00AB31FE"/>
    <w:rsid w:val="00B0731C"/>
    <w:rsid w:val="00B66F7C"/>
    <w:rsid w:val="00BB6D68"/>
    <w:rsid w:val="00BD0823"/>
    <w:rsid w:val="00BD3D0C"/>
    <w:rsid w:val="00BD7D55"/>
    <w:rsid w:val="00BF42AE"/>
    <w:rsid w:val="00C459E8"/>
    <w:rsid w:val="00C75D34"/>
    <w:rsid w:val="00C763B4"/>
    <w:rsid w:val="00C9233E"/>
    <w:rsid w:val="00CD592E"/>
    <w:rsid w:val="00CE16FB"/>
    <w:rsid w:val="00CF2C56"/>
    <w:rsid w:val="00D16B5E"/>
    <w:rsid w:val="00D46D3D"/>
    <w:rsid w:val="00D5625E"/>
    <w:rsid w:val="00DA0BB0"/>
    <w:rsid w:val="00DC5DC3"/>
    <w:rsid w:val="00DD2BE3"/>
    <w:rsid w:val="00DF0435"/>
    <w:rsid w:val="00E10190"/>
    <w:rsid w:val="00E25843"/>
    <w:rsid w:val="00E61C9E"/>
    <w:rsid w:val="00E65F59"/>
    <w:rsid w:val="00E660BB"/>
    <w:rsid w:val="00E87A9E"/>
    <w:rsid w:val="00E96861"/>
    <w:rsid w:val="00EB1403"/>
    <w:rsid w:val="00EE371A"/>
    <w:rsid w:val="00F07CBF"/>
    <w:rsid w:val="00F2381A"/>
    <w:rsid w:val="00F312D0"/>
    <w:rsid w:val="00F33A15"/>
    <w:rsid w:val="00F33D47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C97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2%20Parere%20preventivo%20per.pdf" TargetMode="External"/><Relationship Id="rId13" Type="http://schemas.openxmlformats.org/officeDocument/2006/relationships/hyperlink" Target="Allegati/PA18-19-20-21%20Piscine.pdf" TargetMode="External"/><Relationship Id="rId18" Type="http://schemas.openxmlformats.org/officeDocument/2006/relationships/hyperlink" Target="http://www.vigilfuoco.it/allegati/PI/RegoleTecnicheXAttivita/COORD_DM_18_03_1996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INCENDIO/PREVENZIONE%20INCENDI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file:///C:\Walter\sportello%20unico\Progetto%20PUC\TUR\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6PA%20Tariffe%20polizia%20amministrativa.docx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Arte_Sport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39</cp:revision>
  <dcterms:created xsi:type="dcterms:W3CDTF">2018-07-28T12:36:00Z</dcterms:created>
  <dcterms:modified xsi:type="dcterms:W3CDTF">2021-05-12T09:04:00Z</dcterms:modified>
</cp:coreProperties>
</file>